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3B" w:rsidRDefault="0046283B" w:rsidP="0046283B">
      <w:pPr>
        <w:tabs>
          <w:tab w:val="left" w:pos="3345"/>
        </w:tabs>
        <w:jc w:val="center"/>
        <w:rPr>
          <w:b/>
          <w:sz w:val="24"/>
          <w:szCs w:val="24"/>
        </w:rPr>
      </w:pPr>
      <w:r>
        <w:rPr>
          <w:noProof/>
          <w:sz w:val="24"/>
          <w:szCs w:val="24"/>
          <w:lang w:val="en-US"/>
        </w:rPr>
        <w:drawing>
          <wp:inline distT="0" distB="0" distL="0" distR="0">
            <wp:extent cx="2333625" cy="1252229"/>
            <wp:effectExtent l="0" t="0" r="0" b="0"/>
            <wp:docPr id="1" name="Εικόνα 1" descr="C:\Users\Ντιάνα\Pictures\Νέος φάκελος\ΑΣ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Ντιάνα\Pictures\Νέος φάκελος\ΑΣΕ.png"/>
                    <pic:cNvPicPr>
                      <a:picLocks noChangeAspect="1" noChangeArrowheads="1"/>
                    </pic:cNvPicPr>
                  </pic:nvPicPr>
                  <pic:blipFill>
                    <a:blip r:embed="rId6"/>
                    <a:srcRect/>
                    <a:stretch>
                      <a:fillRect/>
                    </a:stretch>
                  </pic:blipFill>
                  <pic:spPr bwMode="auto">
                    <a:xfrm>
                      <a:off x="0" y="0"/>
                      <a:ext cx="2357356" cy="1264963"/>
                    </a:xfrm>
                    <a:prstGeom prst="rect">
                      <a:avLst/>
                    </a:prstGeom>
                    <a:noFill/>
                    <a:ln w="9525">
                      <a:noFill/>
                      <a:miter lim="800000"/>
                      <a:headEnd/>
                      <a:tailEnd/>
                    </a:ln>
                  </pic:spPr>
                </pic:pic>
              </a:graphicData>
            </a:graphic>
          </wp:inline>
        </w:drawing>
      </w:r>
    </w:p>
    <w:p w:rsidR="007F195C" w:rsidRPr="0046283B" w:rsidRDefault="007F195C" w:rsidP="0046283B">
      <w:pPr>
        <w:tabs>
          <w:tab w:val="left" w:pos="426"/>
        </w:tabs>
        <w:jc w:val="center"/>
        <w:rPr>
          <w:b/>
          <w:sz w:val="28"/>
          <w:szCs w:val="28"/>
        </w:rPr>
      </w:pPr>
      <w:r w:rsidRPr="0046283B">
        <w:rPr>
          <w:b/>
          <w:sz w:val="28"/>
          <w:szCs w:val="28"/>
        </w:rPr>
        <w:t>ΜΟΡΦΩΣΗ, ΥΓΕΙΑ, ΜΟΝΙΜΗ ΕΡΓΑΣΙΑ – ΝΑ ΚΑΛΥΦΘΟΥΝ ΟΙ ΑΝΑΓΚΕΣ ΣΕ ΟΛΑ ΤΑ ΣΧΟΛΕΙΑ</w:t>
      </w:r>
    </w:p>
    <w:p w:rsidR="00A30A05" w:rsidRPr="00E517FF" w:rsidRDefault="00A30A05" w:rsidP="00A30A05">
      <w:pPr>
        <w:tabs>
          <w:tab w:val="left" w:pos="3345"/>
        </w:tabs>
        <w:jc w:val="both"/>
        <w:rPr>
          <w:sz w:val="24"/>
          <w:szCs w:val="24"/>
        </w:rPr>
      </w:pPr>
      <w:r w:rsidRPr="00E517FF">
        <w:rPr>
          <w:sz w:val="24"/>
          <w:szCs w:val="24"/>
        </w:rPr>
        <w:t>Συναδέλφισσες, συνάδελφοι</w:t>
      </w:r>
      <w:bookmarkStart w:id="0" w:name="_GoBack"/>
      <w:bookmarkEnd w:id="0"/>
    </w:p>
    <w:p w:rsidR="00226F25" w:rsidRPr="002326FC" w:rsidRDefault="0091125F" w:rsidP="00226F25">
      <w:pPr>
        <w:suppressAutoHyphens/>
        <w:spacing w:before="120" w:after="120"/>
        <w:jc w:val="both"/>
        <w:rPr>
          <w:rFonts w:eastAsia="SimSun" w:cs="Calibri"/>
          <w:sz w:val="24"/>
          <w:szCs w:val="24"/>
          <w:lang w:eastAsia="ar-SA"/>
        </w:rPr>
      </w:pPr>
      <w:r>
        <w:rPr>
          <w:rFonts w:eastAsia="SimSun" w:cs="Calibri"/>
          <w:sz w:val="24"/>
          <w:szCs w:val="24"/>
          <w:lang w:eastAsia="ar-SA"/>
        </w:rPr>
        <w:t>Ευχόμαστε</w:t>
      </w:r>
      <w:r w:rsidR="00226F25" w:rsidRPr="002326FC">
        <w:rPr>
          <w:rFonts w:eastAsia="SimSun" w:cs="Calibri"/>
          <w:sz w:val="24"/>
          <w:szCs w:val="24"/>
          <w:lang w:eastAsia="ar-SA"/>
        </w:rPr>
        <w:t xml:space="preserve"> σε όλους τους συναδέλφους αναπληρωτές καλή δύναμη ώστε και φέτος να ανταπεξέλθουν στο δύσκολο αλλά και δημιουργικό έργο της μόρφωσης των μαθητών. Καλούμε τους συναδέλφους από την πρώτη μέρα να απευθυνθούν και να συσπειρωθούν στα σωματεία για κάθε μικρό και μεγάλο πρόβλημα.</w:t>
      </w:r>
    </w:p>
    <w:p w:rsidR="007F195C" w:rsidRPr="00E517FF" w:rsidRDefault="00226F25" w:rsidP="0046283B">
      <w:pPr>
        <w:tabs>
          <w:tab w:val="left" w:pos="284"/>
        </w:tabs>
        <w:jc w:val="both"/>
        <w:rPr>
          <w:sz w:val="24"/>
          <w:szCs w:val="24"/>
        </w:rPr>
      </w:pPr>
      <w:r>
        <w:rPr>
          <w:sz w:val="24"/>
          <w:szCs w:val="24"/>
        </w:rPr>
        <w:tab/>
      </w:r>
      <w:r w:rsidR="007F195C" w:rsidRPr="00E517FF">
        <w:rPr>
          <w:sz w:val="24"/>
          <w:szCs w:val="24"/>
        </w:rPr>
        <w:t xml:space="preserve">Η νέα σχολική χρονιά που ξεκινάει φανερώνει τον εμπαιγμό της κυβέρνησης με τα ελλιπή μέτρα </w:t>
      </w:r>
      <w:r w:rsidR="00C4698B" w:rsidRPr="00E517FF">
        <w:rPr>
          <w:sz w:val="24"/>
          <w:szCs w:val="24"/>
        </w:rPr>
        <w:t>εν μέσω πανδημίας</w:t>
      </w:r>
      <w:r w:rsidR="007F195C" w:rsidRPr="00E517FF">
        <w:rPr>
          <w:sz w:val="24"/>
          <w:szCs w:val="24"/>
        </w:rPr>
        <w:t xml:space="preserve"> για τη λειτουργία των σχολικών μονάδων</w:t>
      </w:r>
      <w:r w:rsidR="00A30A05" w:rsidRPr="00E517FF">
        <w:rPr>
          <w:sz w:val="24"/>
          <w:szCs w:val="24"/>
        </w:rPr>
        <w:t xml:space="preserve"> αλλά και με τις προσλήψεις των αναπληρωτών</w:t>
      </w:r>
      <w:r w:rsidR="00C4698B" w:rsidRPr="00E517FF">
        <w:rPr>
          <w:sz w:val="24"/>
          <w:szCs w:val="24"/>
        </w:rPr>
        <w:t>.</w:t>
      </w:r>
    </w:p>
    <w:p w:rsidR="0046283B" w:rsidRDefault="0046283B" w:rsidP="0046283B">
      <w:pPr>
        <w:tabs>
          <w:tab w:val="left" w:pos="284"/>
        </w:tabs>
        <w:jc w:val="both"/>
        <w:rPr>
          <w:sz w:val="24"/>
          <w:szCs w:val="24"/>
        </w:rPr>
      </w:pPr>
      <w:r>
        <w:rPr>
          <w:sz w:val="24"/>
          <w:szCs w:val="24"/>
        </w:rPr>
        <w:tab/>
      </w:r>
      <w:r w:rsidR="00A30A05" w:rsidRPr="00E517FF">
        <w:rPr>
          <w:sz w:val="24"/>
          <w:szCs w:val="24"/>
        </w:rPr>
        <w:t xml:space="preserve">Οι προσλήψεις </w:t>
      </w:r>
      <w:r w:rsidR="001351B3" w:rsidRPr="00E517FF">
        <w:rPr>
          <w:sz w:val="24"/>
          <w:szCs w:val="24"/>
        </w:rPr>
        <w:t xml:space="preserve"> που έγιναν την Τρίτη 25/8 </w:t>
      </w:r>
      <w:r w:rsidR="006F6617" w:rsidRPr="00E517FF">
        <w:rPr>
          <w:sz w:val="24"/>
          <w:szCs w:val="24"/>
        </w:rPr>
        <w:t xml:space="preserve"> (21.065 αναπληρωτών εκπαιδευτικών Π.Ε. και Δ.Ε. στη Γενική Εκπαίδευση καθώς και στην Ειδική Αγωγή και Εκπαίδευση, καθώς και 3.862 αναπληρωτών (ΕΕΠ) και  (ΕΒΠ))  αναδεικνύουν για </w:t>
      </w:r>
      <w:r w:rsidR="001351B3" w:rsidRPr="00E517FF">
        <w:rPr>
          <w:sz w:val="24"/>
          <w:szCs w:val="24"/>
        </w:rPr>
        <w:t xml:space="preserve"> άλλη μια φορά για τη νέα σχολική χρονιά τα χιλιάδες κενά που υπάρχουν στις σχολικές μονάδες.</w:t>
      </w:r>
      <w:r w:rsidR="00973A55" w:rsidRPr="00973A55">
        <w:rPr>
          <w:sz w:val="24"/>
          <w:szCs w:val="24"/>
        </w:rPr>
        <w:t xml:space="preserve"> </w:t>
      </w:r>
      <w:r w:rsidR="00230D3E" w:rsidRPr="00E517FF">
        <w:rPr>
          <w:sz w:val="24"/>
          <w:szCs w:val="24"/>
        </w:rPr>
        <w:t>Π</w:t>
      </w:r>
      <w:r w:rsidR="001351B3" w:rsidRPr="00E517FF">
        <w:rPr>
          <w:sz w:val="24"/>
          <w:szCs w:val="24"/>
        </w:rPr>
        <w:t>αρά την «ετοιμότητα» που διακηρύσσει η κυβέρνηση δεν προχώρησε σε μια φάση προσλήψεων για όλους τους αναπληρωτές, σε όλες</w:t>
      </w:r>
      <w:r w:rsidR="00230D3E" w:rsidRPr="00E517FF">
        <w:rPr>
          <w:sz w:val="24"/>
          <w:szCs w:val="24"/>
        </w:rPr>
        <w:t xml:space="preserve"> τις δομές και τις ειδικότητες, αφήνοντας έξω την κάλυψη των τμημάτων ΖΕΠ και φυσικά σε καμία περίπτωση δεν καλύπτουν τα χιλιάδες κενά σε ειδική και γενική αγωγή που υπάρχουν στην εκπαίδευση.</w:t>
      </w:r>
    </w:p>
    <w:p w:rsidR="00F3150D" w:rsidRDefault="00F3150D" w:rsidP="00F3150D">
      <w:pPr>
        <w:tabs>
          <w:tab w:val="left" w:pos="284"/>
        </w:tabs>
        <w:jc w:val="both"/>
        <w:rPr>
          <w:rFonts w:cs="Calibri"/>
          <w:sz w:val="24"/>
          <w:szCs w:val="24"/>
          <w:lang w:val="en-US"/>
        </w:rPr>
      </w:pPr>
      <w:r w:rsidRPr="00226F25">
        <w:rPr>
          <w:rFonts w:cs="Calibri"/>
          <w:sz w:val="24"/>
          <w:szCs w:val="24"/>
        </w:rPr>
        <w:tab/>
      </w:r>
      <w:r>
        <w:rPr>
          <w:rFonts w:cs="Calibri"/>
          <w:sz w:val="24"/>
          <w:szCs w:val="24"/>
        </w:rPr>
        <w:t>Στην Αν. Αττική έγιναν 1082 προσλήψεις, 978 Εκπαιδευτικών (586 στην Α’ Αν. Αττικής, 392 στην Β’ Αν. Αττικής) και 104 ΕΒΠ-ΕΕΠ (στην Β’ Αν. Αττικής).</w:t>
      </w:r>
    </w:p>
    <w:p w:rsidR="00F3150D" w:rsidRDefault="00F3150D" w:rsidP="00F3150D">
      <w:pPr>
        <w:tabs>
          <w:tab w:val="left" w:pos="284"/>
        </w:tabs>
        <w:jc w:val="both"/>
        <w:rPr>
          <w:rFonts w:cs="Calibri"/>
          <w:sz w:val="24"/>
          <w:szCs w:val="24"/>
        </w:rPr>
      </w:pPr>
      <w:r>
        <w:rPr>
          <w:rFonts w:cs="Calibri"/>
          <w:sz w:val="24"/>
          <w:szCs w:val="24"/>
        </w:rPr>
        <w:t>Οι προσλήψεις ανά ειδικότητα είναι:</w:t>
      </w:r>
    </w:p>
    <w:tbl>
      <w:tblPr>
        <w:tblStyle w:val="TableGrid"/>
        <w:tblW w:w="0" w:type="auto"/>
        <w:tblInd w:w="896" w:type="dxa"/>
        <w:tblLook w:val="04A0" w:firstRow="1" w:lastRow="0" w:firstColumn="1" w:lastColumn="0" w:noHBand="0" w:noVBand="1"/>
      </w:tblPr>
      <w:tblGrid>
        <w:gridCol w:w="2235"/>
        <w:gridCol w:w="1701"/>
        <w:gridCol w:w="1842"/>
        <w:gridCol w:w="1843"/>
      </w:tblGrid>
      <w:tr w:rsidR="00D6335D" w:rsidRPr="00D6335D" w:rsidTr="0091125F">
        <w:trPr>
          <w:trHeight w:hRule="exact" w:val="284"/>
        </w:trPr>
        <w:tc>
          <w:tcPr>
            <w:tcW w:w="2235" w:type="dxa"/>
          </w:tcPr>
          <w:p w:rsidR="00D6335D" w:rsidRPr="00D6335D" w:rsidRDefault="00D6335D" w:rsidP="00F3150D">
            <w:pPr>
              <w:tabs>
                <w:tab w:val="left" w:pos="284"/>
              </w:tabs>
              <w:jc w:val="both"/>
              <w:rPr>
                <w:rFonts w:cs="Calibri"/>
                <w:b/>
                <w:sz w:val="24"/>
                <w:szCs w:val="24"/>
              </w:rPr>
            </w:pPr>
            <w:r w:rsidRPr="00D6335D">
              <w:rPr>
                <w:rFonts w:cs="Calibri"/>
                <w:b/>
                <w:sz w:val="24"/>
                <w:szCs w:val="24"/>
              </w:rPr>
              <w:t>ΚΛΑΔΟΣ</w:t>
            </w:r>
          </w:p>
        </w:tc>
        <w:tc>
          <w:tcPr>
            <w:tcW w:w="1701" w:type="dxa"/>
          </w:tcPr>
          <w:p w:rsidR="00D6335D" w:rsidRPr="00D6335D" w:rsidRDefault="00D6335D" w:rsidP="00F3150D">
            <w:pPr>
              <w:tabs>
                <w:tab w:val="left" w:pos="284"/>
              </w:tabs>
              <w:jc w:val="both"/>
              <w:rPr>
                <w:rFonts w:cs="Calibri"/>
                <w:b/>
                <w:sz w:val="24"/>
                <w:szCs w:val="24"/>
              </w:rPr>
            </w:pPr>
            <w:r w:rsidRPr="00D6335D">
              <w:rPr>
                <w:rFonts w:cs="Calibri"/>
                <w:b/>
                <w:sz w:val="24"/>
                <w:szCs w:val="24"/>
              </w:rPr>
              <w:t>ΑΡΙΘΜΟΣ</w:t>
            </w:r>
          </w:p>
        </w:tc>
        <w:tc>
          <w:tcPr>
            <w:tcW w:w="1842" w:type="dxa"/>
            <w:tcBorders>
              <w:top w:val="single" w:sz="4" w:space="0" w:color="auto"/>
              <w:bottom w:val="single" w:sz="4" w:space="0" w:color="auto"/>
              <w:right w:val="single" w:sz="4" w:space="0" w:color="auto"/>
            </w:tcBorders>
            <w:shd w:val="clear" w:color="auto" w:fill="auto"/>
          </w:tcPr>
          <w:p w:rsidR="00D6335D" w:rsidRPr="00D6335D" w:rsidRDefault="00D6335D">
            <w:pPr>
              <w:spacing w:after="0" w:line="240" w:lineRule="auto"/>
              <w:rPr>
                <w:rFonts w:cs="Calibri"/>
                <w:b/>
                <w:sz w:val="24"/>
                <w:szCs w:val="24"/>
              </w:rPr>
            </w:pPr>
            <w:r w:rsidRPr="00D6335D">
              <w:rPr>
                <w:rFonts w:cs="Calibri"/>
                <w:b/>
                <w:sz w:val="24"/>
                <w:szCs w:val="24"/>
              </w:rPr>
              <w:t>Α’ ΑΝ. ΑΤΤΙΚΗΣ</w:t>
            </w:r>
          </w:p>
        </w:tc>
        <w:tc>
          <w:tcPr>
            <w:tcW w:w="1843" w:type="dxa"/>
            <w:tcBorders>
              <w:top w:val="single" w:sz="4" w:space="0" w:color="auto"/>
              <w:bottom w:val="single" w:sz="4" w:space="0" w:color="auto"/>
              <w:right w:val="single" w:sz="4" w:space="0" w:color="auto"/>
            </w:tcBorders>
            <w:shd w:val="clear" w:color="auto" w:fill="auto"/>
          </w:tcPr>
          <w:p w:rsidR="00D6335D" w:rsidRPr="00D6335D" w:rsidRDefault="00D6335D">
            <w:pPr>
              <w:spacing w:after="0" w:line="240" w:lineRule="auto"/>
              <w:rPr>
                <w:rFonts w:cs="Calibri"/>
                <w:b/>
                <w:sz w:val="24"/>
                <w:szCs w:val="24"/>
              </w:rPr>
            </w:pPr>
            <w:r>
              <w:rPr>
                <w:rFonts w:cs="Calibri"/>
                <w:b/>
                <w:sz w:val="24"/>
                <w:szCs w:val="24"/>
              </w:rPr>
              <w:t>Β’ ΑΝ. ΑΤΤΙΚΗΣ</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ΠΕ05</w:t>
            </w:r>
          </w:p>
        </w:tc>
        <w:tc>
          <w:tcPr>
            <w:tcW w:w="1701" w:type="dxa"/>
          </w:tcPr>
          <w:p w:rsidR="00D6335D" w:rsidRDefault="00D6335D" w:rsidP="00F3150D">
            <w:pPr>
              <w:tabs>
                <w:tab w:val="left" w:pos="284"/>
              </w:tabs>
              <w:jc w:val="both"/>
              <w:rPr>
                <w:rFonts w:cs="Calibri"/>
                <w:sz w:val="24"/>
                <w:szCs w:val="24"/>
              </w:rPr>
            </w:pPr>
            <w:r>
              <w:rPr>
                <w:rFonts w:cs="Calibri"/>
                <w:sz w:val="24"/>
                <w:szCs w:val="24"/>
              </w:rPr>
              <w:t>2</w:t>
            </w:r>
          </w:p>
          <w:p w:rsidR="00D6335D" w:rsidRDefault="00D6335D" w:rsidP="00F3150D">
            <w:pPr>
              <w:tabs>
                <w:tab w:val="left" w:pos="284"/>
              </w:tabs>
              <w:jc w:val="both"/>
              <w:rPr>
                <w:rFonts w:cs="Calibri"/>
                <w:sz w:val="24"/>
                <w:szCs w:val="24"/>
              </w:rPr>
            </w:pPr>
          </w:p>
          <w:p w:rsidR="00D6335D" w:rsidRDefault="00D6335D" w:rsidP="00F3150D">
            <w:pPr>
              <w:tabs>
                <w:tab w:val="left" w:pos="284"/>
              </w:tabs>
              <w:jc w:val="both"/>
              <w:rPr>
                <w:rFonts w:cs="Calibri"/>
                <w:sz w:val="24"/>
                <w:szCs w:val="24"/>
              </w:rPr>
            </w:pPr>
          </w:p>
        </w:tc>
        <w:tc>
          <w:tcPr>
            <w:tcW w:w="1842"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ΠΕ06</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10</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9</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ΠΕ07</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ΠΕ08</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69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44</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25</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ΠΕ11</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17</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19</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ΠΕ60</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242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150</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92</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ΠΕ70</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535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328</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207</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ΠΕ79.01ΤΕ16</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10</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15</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ΠΕ86</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8</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ΠΕ91.01</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34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21</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13</w:t>
            </w:r>
          </w:p>
        </w:tc>
      </w:tr>
      <w:tr w:rsidR="00D6335D" w:rsidTr="0091125F">
        <w:trPr>
          <w:trHeight w:hRule="exact" w:val="284"/>
        </w:trPr>
        <w:tc>
          <w:tcPr>
            <w:tcW w:w="2235" w:type="dxa"/>
          </w:tcPr>
          <w:p w:rsidR="00D6335D" w:rsidRDefault="00D6335D" w:rsidP="00F3150D">
            <w:pPr>
              <w:tabs>
                <w:tab w:val="left" w:pos="284"/>
              </w:tabs>
              <w:jc w:val="both"/>
              <w:rPr>
                <w:rFonts w:cs="Calibri"/>
                <w:sz w:val="24"/>
                <w:szCs w:val="24"/>
              </w:rPr>
            </w:pPr>
            <w:r>
              <w:rPr>
                <w:rFonts w:cs="Calibri"/>
                <w:sz w:val="24"/>
                <w:szCs w:val="24"/>
              </w:rPr>
              <w:t>ΠΕ91.02</w:t>
            </w:r>
          </w:p>
        </w:tc>
        <w:tc>
          <w:tcPr>
            <w:tcW w:w="1701" w:type="dxa"/>
            <w:tcBorders>
              <w:right w:val="single" w:sz="4" w:space="0" w:color="auto"/>
            </w:tcBorders>
          </w:tcPr>
          <w:p w:rsidR="00D6335D" w:rsidRDefault="00D6335D" w:rsidP="00F3150D">
            <w:pPr>
              <w:tabs>
                <w:tab w:val="left" w:pos="284"/>
              </w:tabs>
              <w:jc w:val="both"/>
              <w:rPr>
                <w:rFonts w:cs="Calibri"/>
                <w:sz w:val="24"/>
                <w:szCs w:val="24"/>
              </w:rPr>
            </w:pPr>
            <w:r>
              <w:rPr>
                <w:rFonts w:cs="Calibri"/>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2</w:t>
            </w:r>
          </w:p>
        </w:tc>
        <w:tc>
          <w:tcPr>
            <w:tcW w:w="1843" w:type="dxa"/>
            <w:tcBorders>
              <w:top w:val="single" w:sz="4" w:space="0" w:color="auto"/>
              <w:bottom w:val="single" w:sz="4" w:space="0" w:color="auto"/>
              <w:right w:val="single" w:sz="4" w:space="0" w:color="auto"/>
            </w:tcBorders>
            <w:shd w:val="clear" w:color="auto" w:fill="auto"/>
          </w:tcPr>
          <w:p w:rsidR="00D6335D" w:rsidRDefault="00D6335D">
            <w:pPr>
              <w:spacing w:after="0" w:line="240" w:lineRule="auto"/>
              <w:rPr>
                <w:rFonts w:cs="Calibri"/>
                <w:sz w:val="24"/>
                <w:szCs w:val="24"/>
              </w:rPr>
            </w:pPr>
            <w:r>
              <w:rPr>
                <w:rFonts w:cs="Calibri"/>
                <w:sz w:val="24"/>
                <w:szCs w:val="24"/>
              </w:rPr>
              <w:t>1</w:t>
            </w:r>
          </w:p>
        </w:tc>
      </w:tr>
    </w:tbl>
    <w:p w:rsidR="00F3150D" w:rsidRPr="00F3150D" w:rsidRDefault="00F3150D" w:rsidP="00F3150D">
      <w:pPr>
        <w:tabs>
          <w:tab w:val="left" w:pos="284"/>
        </w:tabs>
        <w:jc w:val="both"/>
        <w:rPr>
          <w:rFonts w:cs="Calibri"/>
          <w:sz w:val="24"/>
          <w:szCs w:val="24"/>
        </w:rPr>
      </w:pPr>
    </w:p>
    <w:p w:rsidR="00462C14" w:rsidRPr="00462C14" w:rsidRDefault="001351B3" w:rsidP="00462C14">
      <w:pPr>
        <w:ind w:firstLine="360"/>
        <w:jc w:val="both"/>
        <w:rPr>
          <w:b/>
          <w:sz w:val="24"/>
          <w:szCs w:val="24"/>
        </w:rPr>
      </w:pPr>
      <w:r w:rsidRPr="00462C14">
        <w:rPr>
          <w:sz w:val="24"/>
          <w:szCs w:val="24"/>
        </w:rPr>
        <w:t>Το διάστημα αυτό πραγματοποιούνται οι υπηρεσιακές μεταβολές και οι τοποθετήσεις μονίμων και αναπληρωτών</w:t>
      </w:r>
      <w:r w:rsidR="006F6617" w:rsidRPr="00462C14">
        <w:rPr>
          <w:b/>
          <w:sz w:val="24"/>
          <w:szCs w:val="24"/>
        </w:rPr>
        <w:t xml:space="preserve">. Δεν θα δεχτούμε </w:t>
      </w:r>
      <w:r w:rsidR="00230D3E" w:rsidRPr="00462C14">
        <w:rPr>
          <w:b/>
          <w:sz w:val="24"/>
          <w:szCs w:val="24"/>
        </w:rPr>
        <w:t>να καταπατηθούν</w:t>
      </w:r>
      <w:r w:rsidR="00A30A05" w:rsidRPr="00462C14">
        <w:rPr>
          <w:b/>
          <w:sz w:val="24"/>
          <w:szCs w:val="24"/>
        </w:rPr>
        <w:t xml:space="preserve"> τα εργασιακά δικαιώματα των εκπαιδευτικών και οι</w:t>
      </w:r>
      <w:r w:rsidR="00462C14" w:rsidRPr="00462C14">
        <w:rPr>
          <w:b/>
          <w:sz w:val="24"/>
          <w:szCs w:val="24"/>
        </w:rPr>
        <w:t xml:space="preserve"> μορφωτικές ανάγκες των μαθητών. Δυναμώνουμε </w:t>
      </w:r>
      <w:r w:rsidR="00462C14">
        <w:rPr>
          <w:b/>
          <w:sz w:val="24"/>
          <w:szCs w:val="24"/>
        </w:rPr>
        <w:t>τις διεκδικήσεις μας μέσα από τα σωματεία για</w:t>
      </w:r>
      <w:r w:rsidR="00462C14" w:rsidRPr="00462C14">
        <w:rPr>
          <w:b/>
          <w:sz w:val="24"/>
          <w:szCs w:val="24"/>
        </w:rPr>
        <w:t xml:space="preserve"> μόρφωση, υγιεινή</w:t>
      </w:r>
      <w:r w:rsidR="00462C14">
        <w:rPr>
          <w:b/>
          <w:sz w:val="24"/>
          <w:szCs w:val="24"/>
        </w:rPr>
        <w:t xml:space="preserve"> και ασφάλεια σε όλα τα</w:t>
      </w:r>
      <w:r w:rsidR="00462C14" w:rsidRPr="00462C14">
        <w:rPr>
          <w:b/>
          <w:sz w:val="24"/>
          <w:szCs w:val="24"/>
        </w:rPr>
        <w:t xml:space="preserve"> σχολεία.</w:t>
      </w:r>
    </w:p>
    <w:p w:rsidR="0091125F" w:rsidRDefault="0091125F" w:rsidP="0046283B">
      <w:pPr>
        <w:ind w:firstLine="360"/>
        <w:rPr>
          <w:b/>
          <w:sz w:val="24"/>
          <w:szCs w:val="24"/>
          <w:u w:val="single"/>
        </w:rPr>
      </w:pPr>
    </w:p>
    <w:p w:rsidR="0091125F" w:rsidRDefault="0091125F" w:rsidP="0046283B">
      <w:pPr>
        <w:ind w:firstLine="360"/>
        <w:rPr>
          <w:b/>
          <w:sz w:val="24"/>
          <w:szCs w:val="24"/>
          <w:u w:val="single"/>
        </w:rPr>
      </w:pPr>
    </w:p>
    <w:p w:rsidR="001351B3" w:rsidRPr="0046283B" w:rsidRDefault="00E517FF" w:rsidP="0046283B">
      <w:pPr>
        <w:ind w:firstLine="360"/>
        <w:rPr>
          <w:b/>
          <w:sz w:val="24"/>
          <w:szCs w:val="24"/>
          <w:u w:val="single"/>
        </w:rPr>
      </w:pPr>
      <w:r w:rsidRPr="0046283B">
        <w:rPr>
          <w:b/>
          <w:sz w:val="24"/>
          <w:szCs w:val="24"/>
          <w:u w:val="single"/>
        </w:rPr>
        <w:lastRenderedPageBreak/>
        <w:t>Απαιτούμε:</w:t>
      </w:r>
    </w:p>
    <w:p w:rsidR="00EB7E73" w:rsidRPr="00E517FF" w:rsidRDefault="00EB7E73" w:rsidP="00EB7E73">
      <w:pPr>
        <w:pStyle w:val="ListParagraph"/>
        <w:numPr>
          <w:ilvl w:val="0"/>
          <w:numId w:val="1"/>
        </w:numPr>
        <w:jc w:val="both"/>
        <w:rPr>
          <w:sz w:val="24"/>
          <w:szCs w:val="24"/>
        </w:rPr>
      </w:pPr>
      <w:r w:rsidRPr="00E517FF">
        <w:rPr>
          <w:sz w:val="24"/>
          <w:szCs w:val="24"/>
        </w:rPr>
        <w:t xml:space="preserve">Να ολοκληρωθούν άμεσα οι μεταβολές των μονίμων πριν την τοποθέτηση αναπληρωτών </w:t>
      </w:r>
    </w:p>
    <w:p w:rsidR="006B6FE4" w:rsidRPr="00E517FF" w:rsidRDefault="00CD7DF8" w:rsidP="00EB7E73">
      <w:pPr>
        <w:pStyle w:val="ListParagraph"/>
        <w:numPr>
          <w:ilvl w:val="0"/>
          <w:numId w:val="1"/>
        </w:numPr>
        <w:jc w:val="both"/>
        <w:rPr>
          <w:sz w:val="24"/>
          <w:szCs w:val="24"/>
        </w:rPr>
      </w:pPr>
      <w:r w:rsidRPr="00E517FF">
        <w:rPr>
          <w:sz w:val="24"/>
          <w:szCs w:val="24"/>
        </w:rPr>
        <w:t>Να α</w:t>
      </w:r>
      <w:r w:rsidR="004E6F0E" w:rsidRPr="00E517FF">
        <w:rPr>
          <w:sz w:val="24"/>
          <w:szCs w:val="24"/>
        </w:rPr>
        <w:t xml:space="preserve">ναρτηθούν όλα τα κενά  των σχολείων </w:t>
      </w:r>
      <w:r w:rsidR="00EB7E73">
        <w:rPr>
          <w:sz w:val="24"/>
          <w:szCs w:val="24"/>
        </w:rPr>
        <w:t>και όλες οι ειδικότητες</w:t>
      </w:r>
    </w:p>
    <w:p w:rsidR="00CD7DF8" w:rsidRPr="00E517FF" w:rsidRDefault="004E6F0E" w:rsidP="00EB7E73">
      <w:pPr>
        <w:pStyle w:val="ListParagraph"/>
        <w:numPr>
          <w:ilvl w:val="0"/>
          <w:numId w:val="1"/>
        </w:numPr>
        <w:jc w:val="both"/>
        <w:rPr>
          <w:sz w:val="24"/>
          <w:szCs w:val="24"/>
        </w:rPr>
      </w:pPr>
      <w:r w:rsidRPr="00E517FF">
        <w:rPr>
          <w:sz w:val="24"/>
          <w:szCs w:val="24"/>
        </w:rPr>
        <w:t>Να ανακοινωθούν</w:t>
      </w:r>
      <w:r w:rsidR="00CD7DF8" w:rsidRPr="00E517FF">
        <w:rPr>
          <w:sz w:val="24"/>
          <w:szCs w:val="24"/>
        </w:rPr>
        <w:t xml:space="preserve"> όλα τα κενά για την παράλληλη στήριξη με βάση τα σύνολο των αιτημάτων που έχει αιτηθεί το κάθε σχολείο</w:t>
      </w:r>
      <w:r w:rsidR="006B6FE4" w:rsidRPr="00E517FF">
        <w:rPr>
          <w:sz w:val="24"/>
          <w:szCs w:val="24"/>
        </w:rPr>
        <w:t>. Να μην ισχύσει ο πίνακας που έχει αναρτηθεί και περιλαμβάνει μόνο σχολικές μονάδες</w:t>
      </w:r>
    </w:p>
    <w:p w:rsidR="00CD7DF8" w:rsidRPr="00E517FF" w:rsidRDefault="00CD7DF8" w:rsidP="00EB7E73">
      <w:pPr>
        <w:pStyle w:val="ListParagraph"/>
        <w:numPr>
          <w:ilvl w:val="0"/>
          <w:numId w:val="1"/>
        </w:numPr>
        <w:jc w:val="both"/>
        <w:rPr>
          <w:sz w:val="24"/>
          <w:szCs w:val="24"/>
        </w:rPr>
      </w:pPr>
      <w:r w:rsidRPr="00E517FF">
        <w:rPr>
          <w:sz w:val="24"/>
          <w:szCs w:val="24"/>
        </w:rPr>
        <w:t>Να πραγματοποιηθεί πριν την έναρξη της σχολικής χρονιάς, η δεύτερη φάση προσλήψεων, καλύπτοντας ΟΛΑ ΤΑ ΚΕΝΑ σε όλες τις δομές της εκπαίδευσης, λαμβάνοντας υπόψη και τις άδειες που θα ληφθούν από εκπαιδευτικούς και μαθητές που ανήκουν σε ομάδες αυξημένου κινδύνου</w:t>
      </w:r>
    </w:p>
    <w:p w:rsidR="00EB7E73" w:rsidRDefault="00EB7E73" w:rsidP="00EB7E73">
      <w:pPr>
        <w:pStyle w:val="ListParagraph"/>
        <w:numPr>
          <w:ilvl w:val="0"/>
          <w:numId w:val="1"/>
        </w:numPr>
        <w:jc w:val="both"/>
        <w:rPr>
          <w:sz w:val="24"/>
          <w:szCs w:val="24"/>
        </w:rPr>
      </w:pPr>
      <w:r w:rsidRPr="00EB7E73">
        <w:rPr>
          <w:sz w:val="24"/>
          <w:szCs w:val="24"/>
        </w:rPr>
        <w:t>Οι</w:t>
      </w:r>
      <w:r w:rsidR="005350DD">
        <w:rPr>
          <w:sz w:val="24"/>
          <w:szCs w:val="24"/>
        </w:rPr>
        <w:t xml:space="preserve"> </w:t>
      </w:r>
      <w:r w:rsidRPr="00EB7E73">
        <w:rPr>
          <w:sz w:val="24"/>
          <w:szCs w:val="24"/>
        </w:rPr>
        <w:t>οριστικές τοποθετήσεις αναπληρωτών, να γίνουν με όλα τα κενά των σχολείων δημοσιοποιημένα με ευθύνη των ΠΥΣΠΕ</w:t>
      </w:r>
    </w:p>
    <w:p w:rsidR="00EB7E73" w:rsidRDefault="00EB7E73" w:rsidP="008515B6">
      <w:pPr>
        <w:pStyle w:val="ListParagraph"/>
        <w:numPr>
          <w:ilvl w:val="0"/>
          <w:numId w:val="1"/>
        </w:numPr>
        <w:jc w:val="both"/>
        <w:rPr>
          <w:sz w:val="24"/>
          <w:szCs w:val="24"/>
        </w:rPr>
      </w:pPr>
      <w:r w:rsidRPr="00EB7E73">
        <w:rPr>
          <w:sz w:val="24"/>
          <w:szCs w:val="24"/>
        </w:rPr>
        <w:t>Ν</w:t>
      </w:r>
      <w:r w:rsidR="00CD7DF8" w:rsidRPr="00EB7E73">
        <w:rPr>
          <w:sz w:val="24"/>
          <w:szCs w:val="24"/>
        </w:rPr>
        <w:t>α</w:t>
      </w:r>
      <w:r w:rsidR="005350DD">
        <w:rPr>
          <w:sz w:val="24"/>
          <w:szCs w:val="24"/>
        </w:rPr>
        <w:t xml:space="preserve"> </w:t>
      </w:r>
      <w:r w:rsidR="006B6FE4" w:rsidRPr="00EB7E73">
        <w:rPr>
          <w:sz w:val="24"/>
          <w:szCs w:val="24"/>
        </w:rPr>
        <w:t>ληφθούν</w:t>
      </w:r>
      <w:r w:rsidR="005350DD">
        <w:rPr>
          <w:sz w:val="24"/>
          <w:szCs w:val="24"/>
        </w:rPr>
        <w:t xml:space="preserve"> </w:t>
      </w:r>
      <w:r w:rsidR="006B6FE4" w:rsidRPr="00EB7E73">
        <w:rPr>
          <w:sz w:val="24"/>
          <w:szCs w:val="24"/>
        </w:rPr>
        <w:t xml:space="preserve">υπόψη </w:t>
      </w:r>
      <w:r w:rsidRPr="00EB7E73">
        <w:rPr>
          <w:sz w:val="24"/>
          <w:szCs w:val="24"/>
        </w:rPr>
        <w:t xml:space="preserve">κατά τη διαδικασία τοποθέτησης, ιδιαίτερα προβλήματα που αντιμετωπίζουν οι συνάδελφοι όπως για παράδειγμα σοβαρά </w:t>
      </w:r>
      <w:r w:rsidR="006B6FE4" w:rsidRPr="00EB7E73">
        <w:rPr>
          <w:sz w:val="24"/>
          <w:szCs w:val="24"/>
        </w:rPr>
        <w:t>προβλήματα υγείας</w:t>
      </w:r>
    </w:p>
    <w:p w:rsidR="009D619F" w:rsidRPr="00E517FF" w:rsidRDefault="009D619F" w:rsidP="009D619F">
      <w:pPr>
        <w:pStyle w:val="ListParagraph"/>
        <w:numPr>
          <w:ilvl w:val="0"/>
          <w:numId w:val="1"/>
        </w:numPr>
        <w:jc w:val="both"/>
        <w:rPr>
          <w:sz w:val="24"/>
          <w:szCs w:val="24"/>
        </w:rPr>
      </w:pPr>
      <w:r w:rsidRPr="00E517FF">
        <w:rPr>
          <w:sz w:val="24"/>
          <w:szCs w:val="24"/>
        </w:rPr>
        <w:t xml:space="preserve">Να λειτουργήσουν μικρά τμήματα μέχρι 15 μαθητές (με πρόβλεψη ανάπτυξης των σχολικών υποδομών). Είναι επίσης απαράδεκτο να συνεχίσουν να στεγάζονται σε γυμναστήρια και </w:t>
      </w:r>
      <w:proofErr w:type="spellStart"/>
      <w:r w:rsidRPr="00E517FF">
        <w:rPr>
          <w:sz w:val="24"/>
          <w:szCs w:val="24"/>
        </w:rPr>
        <w:t>προκάτ</w:t>
      </w:r>
      <w:proofErr w:type="spellEnd"/>
      <w:r w:rsidRPr="00E517FF">
        <w:rPr>
          <w:sz w:val="24"/>
          <w:szCs w:val="24"/>
        </w:rPr>
        <w:t xml:space="preserve"> ολόκληρα τμήματα σχολείων (4</w:t>
      </w:r>
      <w:r w:rsidRPr="00E517FF">
        <w:rPr>
          <w:sz w:val="24"/>
          <w:szCs w:val="24"/>
          <w:vertAlign w:val="superscript"/>
        </w:rPr>
        <w:t>ο</w:t>
      </w:r>
      <w:r w:rsidRPr="00E517FF">
        <w:rPr>
          <w:sz w:val="24"/>
          <w:szCs w:val="24"/>
        </w:rPr>
        <w:t xml:space="preserve"> -5</w:t>
      </w:r>
      <w:r w:rsidRPr="00E517FF">
        <w:rPr>
          <w:sz w:val="24"/>
          <w:szCs w:val="24"/>
          <w:vertAlign w:val="superscript"/>
        </w:rPr>
        <w:t>ο</w:t>
      </w:r>
      <w:r w:rsidRPr="00E517FF">
        <w:rPr>
          <w:sz w:val="24"/>
          <w:szCs w:val="24"/>
        </w:rPr>
        <w:t xml:space="preserve"> Ηρακλείου) και να μην έχει προβλεφτεί που θα φοιτήσουν οι μαθητές με έξαρση του ιού στριμωγμένοι</w:t>
      </w:r>
    </w:p>
    <w:p w:rsidR="006F6617" w:rsidRPr="00E517FF" w:rsidRDefault="006F6617" w:rsidP="00EB7E73">
      <w:pPr>
        <w:pStyle w:val="ListParagraph"/>
        <w:numPr>
          <w:ilvl w:val="0"/>
          <w:numId w:val="1"/>
        </w:numPr>
        <w:jc w:val="both"/>
        <w:rPr>
          <w:sz w:val="24"/>
          <w:szCs w:val="24"/>
        </w:rPr>
      </w:pPr>
      <w:r w:rsidRPr="00E517FF">
        <w:rPr>
          <w:sz w:val="24"/>
          <w:szCs w:val="24"/>
        </w:rPr>
        <w:t>Να υπάρχει μέριμνα για την υγιεινή και καθαριότητα των σχολείων με επαρκές μόνιμο προσωπικό καθαριότητας</w:t>
      </w:r>
      <w:r w:rsidR="00A30A05" w:rsidRPr="00E517FF">
        <w:rPr>
          <w:sz w:val="24"/>
          <w:szCs w:val="24"/>
        </w:rPr>
        <w:t xml:space="preserve">  και να παρθούν τώρα όλα τα αναγκαία μέτρα για χρηματοδότηση,  </w:t>
      </w:r>
      <w:r w:rsidR="008515B6">
        <w:rPr>
          <w:sz w:val="24"/>
          <w:szCs w:val="24"/>
        </w:rPr>
        <w:t>δωρεάν μέσα ατομικής προστασίας</w:t>
      </w:r>
    </w:p>
    <w:p w:rsidR="006F6617" w:rsidRDefault="006F6617" w:rsidP="00EB7E73">
      <w:pPr>
        <w:pStyle w:val="ListParagraph"/>
        <w:numPr>
          <w:ilvl w:val="0"/>
          <w:numId w:val="1"/>
        </w:numPr>
        <w:jc w:val="both"/>
        <w:rPr>
          <w:sz w:val="24"/>
          <w:szCs w:val="24"/>
        </w:rPr>
      </w:pPr>
      <w:r w:rsidRPr="00E517FF">
        <w:rPr>
          <w:sz w:val="24"/>
          <w:szCs w:val="24"/>
        </w:rPr>
        <w:t xml:space="preserve">Να </w:t>
      </w:r>
      <w:r w:rsidR="00151D5B" w:rsidRPr="00E517FF">
        <w:rPr>
          <w:sz w:val="24"/>
          <w:szCs w:val="24"/>
        </w:rPr>
        <w:t xml:space="preserve"> σταματήσει η κοροϊδία για  τη Δίχρονη Προσχολική  Αγωγή. Να δοθούν </w:t>
      </w:r>
      <w:r w:rsidR="00A30A05" w:rsidRPr="00E517FF">
        <w:rPr>
          <w:sz w:val="24"/>
          <w:szCs w:val="24"/>
        </w:rPr>
        <w:t xml:space="preserve">έκτακτα χρηματικά κονδύλια </w:t>
      </w:r>
      <w:r w:rsidR="007F195C" w:rsidRPr="00E517FF">
        <w:rPr>
          <w:sz w:val="24"/>
          <w:szCs w:val="24"/>
        </w:rPr>
        <w:t>για να λειτουργήσουν όλα τα τμήματα Νηπιαγωγείων με</w:t>
      </w:r>
      <w:r w:rsidR="00A30A05" w:rsidRPr="00E517FF">
        <w:rPr>
          <w:sz w:val="24"/>
          <w:szCs w:val="24"/>
        </w:rPr>
        <w:t xml:space="preserve"> όλα τα </w:t>
      </w:r>
      <w:r w:rsidR="007F195C" w:rsidRPr="00E517FF">
        <w:rPr>
          <w:sz w:val="24"/>
          <w:szCs w:val="24"/>
        </w:rPr>
        <w:t xml:space="preserve">νήπια και προνήπια. Να σταματήσουν οι δημοτικές αρχές με τα υπουργεία λίγες μέρες πριν την έναρξη της σχολικής χρονιάς  να συνεχίζουν να ρίχνουν το μπαλάκι ο ένας στον άλλο και να καταλήγουν στα </w:t>
      </w:r>
      <w:proofErr w:type="spellStart"/>
      <w:r w:rsidR="007F195C" w:rsidRPr="00E517FF">
        <w:rPr>
          <w:sz w:val="24"/>
          <w:szCs w:val="24"/>
        </w:rPr>
        <w:t>προκάτ</w:t>
      </w:r>
      <w:proofErr w:type="spellEnd"/>
      <w:r w:rsidR="007F195C" w:rsidRPr="00E517FF">
        <w:rPr>
          <w:sz w:val="24"/>
          <w:szCs w:val="24"/>
        </w:rPr>
        <w:t xml:space="preserve"> ή στην αναστολή της εφαρμογής της ΔΠΑ.</w:t>
      </w:r>
    </w:p>
    <w:p w:rsidR="009D619F" w:rsidRPr="00EB7E73" w:rsidRDefault="009D619F" w:rsidP="009D619F">
      <w:pPr>
        <w:pStyle w:val="ListParagraph"/>
        <w:numPr>
          <w:ilvl w:val="0"/>
          <w:numId w:val="1"/>
        </w:numPr>
        <w:jc w:val="both"/>
        <w:rPr>
          <w:sz w:val="24"/>
          <w:szCs w:val="24"/>
        </w:rPr>
      </w:pPr>
      <w:r w:rsidRPr="00EB7E73">
        <w:rPr>
          <w:sz w:val="24"/>
          <w:szCs w:val="24"/>
        </w:rPr>
        <w:t xml:space="preserve">Να καταβληθούν τα επιδόματα  ανεργίας στους αναπληρωτές που είναι απλήρωτοι και να μην περικοπεί το επίδομα των νεοδιόριστων εκπαιδευτικών ΕΕΠ/ΕΒΠ  </w:t>
      </w:r>
    </w:p>
    <w:p w:rsidR="00230D3E" w:rsidRPr="00E517FF" w:rsidRDefault="00230D3E" w:rsidP="009D619F">
      <w:pPr>
        <w:pStyle w:val="ListParagraph"/>
        <w:ind w:left="360"/>
        <w:rPr>
          <w:sz w:val="24"/>
          <w:szCs w:val="24"/>
        </w:rPr>
      </w:pPr>
    </w:p>
    <w:p w:rsidR="00E517FF" w:rsidRPr="00E517FF" w:rsidRDefault="00E517FF" w:rsidP="0046283B">
      <w:pPr>
        <w:pStyle w:val="ListParagraph"/>
        <w:ind w:left="0" w:firstLine="360"/>
        <w:jc w:val="both"/>
        <w:rPr>
          <w:b/>
          <w:sz w:val="24"/>
          <w:szCs w:val="24"/>
        </w:rPr>
      </w:pPr>
      <w:r w:rsidRPr="00E517FF">
        <w:rPr>
          <w:b/>
          <w:sz w:val="24"/>
          <w:szCs w:val="24"/>
        </w:rPr>
        <w:t>Η κυβέρνηση και το υπουργείο Παιδείας ας σταματήσουν να σφυρίζουν αδιάφορα μπροστά στα εκπαιδευτικά κενά, στην αδιοριστία χιλιάδων εκπαιδευτικών, στην υποχρηματοδότηση της παιδείας. Να πάρουν τώρα μέτρα για την ουσιαστική και ασφαλή λειτουργία των σχολικών μονάδων.</w:t>
      </w:r>
    </w:p>
    <w:p w:rsidR="00E517FF" w:rsidRPr="00E517FF" w:rsidRDefault="00230D3E" w:rsidP="0046283B">
      <w:pPr>
        <w:spacing w:after="160" w:line="259" w:lineRule="auto"/>
        <w:ind w:firstLine="360"/>
        <w:jc w:val="both"/>
        <w:rPr>
          <w:sz w:val="24"/>
          <w:szCs w:val="24"/>
        </w:rPr>
      </w:pPr>
      <w:r w:rsidRPr="00E517FF">
        <w:rPr>
          <w:b/>
          <w:sz w:val="24"/>
          <w:szCs w:val="24"/>
        </w:rPr>
        <w:t>Κλιμακώνουμε την πάλη μας το επόμενο διάστημα</w:t>
      </w:r>
      <w:r w:rsidRPr="00E517FF">
        <w:rPr>
          <w:sz w:val="24"/>
          <w:szCs w:val="24"/>
        </w:rPr>
        <w:t>, για όλα τα κρίσιμα ζητήματα της ν</w:t>
      </w:r>
      <w:r w:rsidR="00973A55">
        <w:rPr>
          <w:sz w:val="24"/>
          <w:szCs w:val="24"/>
        </w:rPr>
        <w:t>έας χρονιά</w:t>
      </w:r>
      <w:r w:rsidRPr="00E517FF">
        <w:rPr>
          <w:sz w:val="24"/>
          <w:szCs w:val="24"/>
        </w:rPr>
        <w:t>ς, με</w:t>
      </w:r>
      <w:r w:rsidR="00E517FF" w:rsidRPr="00E517FF">
        <w:rPr>
          <w:sz w:val="24"/>
          <w:szCs w:val="24"/>
        </w:rPr>
        <w:t xml:space="preserve"> παραστάσεις διαμαρτυρίας, γ</w:t>
      </w:r>
      <w:r w:rsidRPr="00E517FF">
        <w:rPr>
          <w:sz w:val="24"/>
          <w:szCs w:val="24"/>
        </w:rPr>
        <w:t>ενικές Συνελεύσεις των Σωματείων μας, με αποφάσεις για απεργία – αποχή από την αντιεκπαιδευτική αξιολόγηση,  για το δικαίωμα στη μόνιμη και σταθερή δουλειά,  για  τα μορφωτικά δικαιώματα των μαθητών μας!!</w:t>
      </w:r>
    </w:p>
    <w:p w:rsidR="00E517FF" w:rsidRDefault="00E517FF" w:rsidP="00337976">
      <w:pPr>
        <w:spacing w:after="160" w:line="259" w:lineRule="auto"/>
        <w:ind w:firstLine="360"/>
        <w:jc w:val="center"/>
        <w:rPr>
          <w:b/>
          <w:sz w:val="24"/>
          <w:szCs w:val="24"/>
        </w:rPr>
      </w:pPr>
      <w:r w:rsidRPr="00E517FF">
        <w:rPr>
          <w:b/>
          <w:sz w:val="24"/>
          <w:szCs w:val="24"/>
        </w:rPr>
        <w:t>Καλούμε σε παράσταση διαμαρτυρίας στο Υπουργείου Παιδείας τη Δευτέρα 31/8 στις 10:30 για όλα τα ζητήματα που αφορούν την έναρξη των σχολείων</w:t>
      </w:r>
      <w:r>
        <w:rPr>
          <w:b/>
          <w:sz w:val="24"/>
          <w:szCs w:val="24"/>
        </w:rPr>
        <w:t>.</w:t>
      </w:r>
    </w:p>
    <w:p w:rsidR="0091125F" w:rsidRPr="00E517FF" w:rsidRDefault="0091125F" w:rsidP="00337976">
      <w:pPr>
        <w:spacing w:after="160" w:line="259" w:lineRule="auto"/>
        <w:ind w:firstLine="360"/>
        <w:jc w:val="center"/>
        <w:rPr>
          <w:b/>
          <w:sz w:val="24"/>
          <w:szCs w:val="24"/>
        </w:rPr>
      </w:pPr>
    </w:p>
    <w:p w:rsidR="0046283B" w:rsidRPr="00A82BB6" w:rsidRDefault="0046283B" w:rsidP="0046283B">
      <w:pPr>
        <w:jc w:val="right"/>
        <w:rPr>
          <w:b/>
        </w:rPr>
      </w:pPr>
      <w:r w:rsidRPr="00A82BB6">
        <w:rPr>
          <w:b/>
          <w:sz w:val="24"/>
          <w:szCs w:val="24"/>
        </w:rPr>
        <w:t xml:space="preserve">Αγωνιστική Συσπείρωση Εκπαιδευτικών </w:t>
      </w:r>
      <w:r w:rsidR="00337976">
        <w:rPr>
          <w:b/>
          <w:sz w:val="24"/>
          <w:szCs w:val="24"/>
        </w:rPr>
        <w:t>Αν. Αττικής</w:t>
      </w:r>
      <w:r w:rsidRPr="00A82BB6">
        <w:rPr>
          <w:b/>
          <w:sz w:val="24"/>
          <w:szCs w:val="24"/>
        </w:rPr>
        <w:t xml:space="preserve">   (το ψηφοδέλτιο που στηρίζει το ΠΑΜΕ</w:t>
      </w:r>
      <w:r w:rsidRPr="00A82BB6">
        <w:rPr>
          <w:b/>
        </w:rPr>
        <w:t>)</w:t>
      </w:r>
    </w:p>
    <w:p w:rsidR="00E849CC" w:rsidRPr="00F3150D" w:rsidRDefault="00E849CC" w:rsidP="00E849CC">
      <w:pPr>
        <w:jc w:val="right"/>
        <w:rPr>
          <w:rFonts w:asciiTheme="minorHAnsi" w:hAnsiTheme="minorHAnsi" w:cstheme="minorHAnsi"/>
          <w:b/>
          <w:bCs/>
          <w:sz w:val="24"/>
          <w:szCs w:val="24"/>
        </w:rPr>
      </w:pPr>
      <w:r w:rsidRPr="00F3150D">
        <w:rPr>
          <w:rFonts w:asciiTheme="minorHAnsi" w:hAnsiTheme="minorHAnsi" w:cstheme="minorHAnsi"/>
          <w:b/>
          <w:bCs/>
          <w:sz w:val="24"/>
          <w:szCs w:val="24"/>
        </w:rPr>
        <w:t xml:space="preserve">Μαρία Σφυρή (τακτικό μέλος): </w:t>
      </w:r>
      <w:proofErr w:type="spellStart"/>
      <w:r w:rsidRPr="00F3150D">
        <w:rPr>
          <w:rFonts w:asciiTheme="minorHAnsi" w:hAnsiTheme="minorHAnsi" w:cstheme="minorHAnsi"/>
          <w:b/>
          <w:bCs/>
          <w:sz w:val="24"/>
          <w:szCs w:val="24"/>
        </w:rPr>
        <w:t>τηλ</w:t>
      </w:r>
      <w:proofErr w:type="spellEnd"/>
      <w:r w:rsidRPr="00F3150D">
        <w:rPr>
          <w:rFonts w:asciiTheme="minorHAnsi" w:hAnsiTheme="minorHAnsi" w:cstheme="minorHAnsi"/>
          <w:b/>
          <w:bCs/>
          <w:sz w:val="24"/>
          <w:szCs w:val="24"/>
        </w:rPr>
        <w:t xml:space="preserve">. 6974319565   </w:t>
      </w:r>
      <w:r w:rsidRPr="00F3150D">
        <w:rPr>
          <w:rFonts w:asciiTheme="minorHAnsi" w:hAnsiTheme="minorHAnsi" w:cstheme="minorHAnsi"/>
          <w:b/>
          <w:bCs/>
          <w:sz w:val="24"/>
          <w:szCs w:val="24"/>
          <w:lang w:val="en-US"/>
        </w:rPr>
        <w:t>E</w:t>
      </w:r>
      <w:proofErr w:type="spellStart"/>
      <w:r w:rsidRPr="00F3150D">
        <w:rPr>
          <w:rFonts w:asciiTheme="minorHAnsi" w:hAnsiTheme="minorHAnsi" w:cstheme="minorHAnsi"/>
          <w:b/>
          <w:bCs/>
          <w:sz w:val="24"/>
          <w:szCs w:val="24"/>
        </w:rPr>
        <w:t>mail</w:t>
      </w:r>
      <w:proofErr w:type="spellEnd"/>
      <w:r w:rsidRPr="00F3150D">
        <w:rPr>
          <w:rFonts w:asciiTheme="minorHAnsi" w:hAnsiTheme="minorHAnsi" w:cstheme="minorHAnsi"/>
          <w:b/>
          <w:bCs/>
          <w:sz w:val="24"/>
          <w:szCs w:val="24"/>
        </w:rPr>
        <w:t xml:space="preserve"> :mariasfyri@hotmail.com</w:t>
      </w:r>
    </w:p>
    <w:p w:rsidR="00E849CC" w:rsidRPr="00F3150D" w:rsidRDefault="00E849CC" w:rsidP="00E849CC">
      <w:pPr>
        <w:jc w:val="right"/>
        <w:rPr>
          <w:rFonts w:asciiTheme="minorHAnsi" w:hAnsiTheme="minorHAnsi" w:cstheme="minorHAnsi"/>
          <w:b/>
          <w:bCs/>
          <w:sz w:val="24"/>
          <w:szCs w:val="24"/>
        </w:rPr>
      </w:pPr>
      <w:r w:rsidRPr="00F3150D">
        <w:rPr>
          <w:rFonts w:asciiTheme="minorHAnsi" w:hAnsiTheme="minorHAnsi" w:cstheme="minorHAnsi"/>
          <w:b/>
          <w:bCs/>
          <w:sz w:val="24"/>
          <w:szCs w:val="24"/>
        </w:rPr>
        <w:t>Γιώργος Γεωργίου (</w:t>
      </w:r>
      <w:proofErr w:type="spellStart"/>
      <w:r w:rsidRPr="00F3150D">
        <w:rPr>
          <w:rFonts w:asciiTheme="minorHAnsi" w:hAnsiTheme="minorHAnsi" w:cstheme="minorHAnsi"/>
          <w:b/>
          <w:bCs/>
          <w:sz w:val="24"/>
          <w:szCs w:val="24"/>
        </w:rPr>
        <w:t>αναπλ</w:t>
      </w:r>
      <w:proofErr w:type="spellEnd"/>
      <w:r w:rsidRPr="00F3150D">
        <w:rPr>
          <w:rFonts w:asciiTheme="minorHAnsi" w:hAnsiTheme="minorHAnsi" w:cstheme="minorHAnsi"/>
          <w:b/>
          <w:bCs/>
          <w:sz w:val="24"/>
          <w:szCs w:val="24"/>
        </w:rPr>
        <w:t xml:space="preserve">. μέλος): </w:t>
      </w:r>
      <w:proofErr w:type="spellStart"/>
      <w:r w:rsidRPr="00F3150D">
        <w:rPr>
          <w:rFonts w:asciiTheme="minorHAnsi" w:hAnsiTheme="minorHAnsi" w:cstheme="minorHAnsi"/>
          <w:b/>
          <w:bCs/>
          <w:sz w:val="24"/>
          <w:szCs w:val="24"/>
        </w:rPr>
        <w:t>τηλ</w:t>
      </w:r>
      <w:proofErr w:type="spellEnd"/>
      <w:r w:rsidRPr="00F3150D">
        <w:rPr>
          <w:rFonts w:asciiTheme="minorHAnsi" w:hAnsiTheme="minorHAnsi" w:cstheme="minorHAnsi"/>
          <w:b/>
          <w:bCs/>
          <w:sz w:val="24"/>
          <w:szCs w:val="24"/>
        </w:rPr>
        <w:t xml:space="preserve">. 6974846032 </w:t>
      </w:r>
      <w:r w:rsidRPr="00F3150D">
        <w:rPr>
          <w:rFonts w:asciiTheme="minorHAnsi" w:hAnsiTheme="minorHAnsi" w:cstheme="minorHAnsi"/>
          <w:b/>
          <w:bCs/>
          <w:sz w:val="24"/>
          <w:szCs w:val="24"/>
          <w:lang w:val="en-US"/>
        </w:rPr>
        <w:t>Email</w:t>
      </w:r>
      <w:r w:rsidRPr="00F3150D">
        <w:rPr>
          <w:rFonts w:asciiTheme="minorHAnsi" w:hAnsiTheme="minorHAnsi" w:cstheme="minorHAnsi"/>
          <w:b/>
          <w:bCs/>
          <w:sz w:val="24"/>
          <w:szCs w:val="24"/>
        </w:rPr>
        <w:t>:</w:t>
      </w:r>
      <w:proofErr w:type="spellStart"/>
      <w:r w:rsidRPr="00F3150D">
        <w:rPr>
          <w:rFonts w:asciiTheme="minorHAnsi" w:hAnsiTheme="minorHAnsi" w:cstheme="minorHAnsi"/>
          <w:b/>
          <w:bCs/>
          <w:sz w:val="24"/>
          <w:szCs w:val="24"/>
          <w:lang w:val="en-US"/>
        </w:rPr>
        <w:t>gnkgeorg</w:t>
      </w:r>
      <w:proofErr w:type="spellEnd"/>
      <w:r w:rsidRPr="00F3150D">
        <w:rPr>
          <w:rFonts w:asciiTheme="minorHAnsi" w:hAnsiTheme="minorHAnsi" w:cstheme="minorHAnsi"/>
          <w:b/>
          <w:bCs/>
          <w:sz w:val="24"/>
          <w:szCs w:val="24"/>
        </w:rPr>
        <w:t>@</w:t>
      </w:r>
      <w:proofErr w:type="spellStart"/>
      <w:r w:rsidRPr="00F3150D">
        <w:rPr>
          <w:rFonts w:asciiTheme="minorHAnsi" w:hAnsiTheme="minorHAnsi" w:cstheme="minorHAnsi"/>
          <w:b/>
          <w:bCs/>
          <w:sz w:val="24"/>
          <w:szCs w:val="24"/>
          <w:lang w:val="en-US"/>
        </w:rPr>
        <w:t>gmail</w:t>
      </w:r>
      <w:proofErr w:type="spellEnd"/>
      <w:r w:rsidRPr="00F3150D">
        <w:rPr>
          <w:rFonts w:asciiTheme="minorHAnsi" w:hAnsiTheme="minorHAnsi" w:cstheme="minorHAnsi"/>
          <w:b/>
          <w:bCs/>
          <w:sz w:val="24"/>
          <w:szCs w:val="24"/>
        </w:rPr>
        <w:t>.</w:t>
      </w:r>
      <w:r w:rsidRPr="00F3150D">
        <w:rPr>
          <w:rFonts w:asciiTheme="minorHAnsi" w:hAnsiTheme="minorHAnsi" w:cstheme="minorHAnsi"/>
          <w:b/>
          <w:bCs/>
          <w:sz w:val="24"/>
          <w:szCs w:val="24"/>
          <w:lang w:val="en-US"/>
        </w:rPr>
        <w:t>com</w:t>
      </w:r>
    </w:p>
    <w:p w:rsidR="0046283B" w:rsidRPr="0046283B" w:rsidRDefault="0046283B" w:rsidP="0046283B">
      <w:pPr>
        <w:pStyle w:val="ListParagraph"/>
        <w:ind w:left="6480" w:firstLine="720"/>
        <w:jc w:val="right"/>
        <w:rPr>
          <w:sz w:val="24"/>
          <w:szCs w:val="24"/>
          <w:lang w:val="en-US"/>
        </w:rPr>
      </w:pPr>
      <w:r w:rsidRPr="0046283B">
        <w:t>Αθήνα</w:t>
      </w:r>
      <w:r w:rsidRPr="0046283B">
        <w:rPr>
          <w:lang w:val="en-US"/>
        </w:rPr>
        <w:t>, 2</w:t>
      </w:r>
      <w:r w:rsidR="00973A55">
        <w:t>8</w:t>
      </w:r>
      <w:r w:rsidRPr="0046283B">
        <w:rPr>
          <w:lang w:val="en-US"/>
        </w:rPr>
        <w:t>/8/2020</w:t>
      </w:r>
      <w:r w:rsidRPr="0046283B">
        <w:rPr>
          <w:b/>
          <w:lang w:val="en-US"/>
        </w:rPr>
        <w:tab/>
      </w:r>
    </w:p>
    <w:sectPr w:rsidR="0046283B" w:rsidRPr="0046283B" w:rsidSect="0091125F">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416"/>
    <w:multiLevelType w:val="hybridMultilevel"/>
    <w:tmpl w:val="AA0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351B3"/>
    <w:rsid w:val="00087F0D"/>
    <w:rsid w:val="001351B3"/>
    <w:rsid w:val="00151D5B"/>
    <w:rsid w:val="00226F25"/>
    <w:rsid w:val="00230D3E"/>
    <w:rsid w:val="002326FC"/>
    <w:rsid w:val="00294709"/>
    <w:rsid w:val="00337976"/>
    <w:rsid w:val="003E28CE"/>
    <w:rsid w:val="004344A0"/>
    <w:rsid w:val="0046283B"/>
    <w:rsid w:val="00462C14"/>
    <w:rsid w:val="004E6F0E"/>
    <w:rsid w:val="005350DD"/>
    <w:rsid w:val="006B6FE4"/>
    <w:rsid w:val="006F6617"/>
    <w:rsid w:val="007204B3"/>
    <w:rsid w:val="007F195C"/>
    <w:rsid w:val="008515B6"/>
    <w:rsid w:val="008945E5"/>
    <w:rsid w:val="008A3740"/>
    <w:rsid w:val="0091125F"/>
    <w:rsid w:val="00973A55"/>
    <w:rsid w:val="00992A79"/>
    <w:rsid w:val="009D0D6B"/>
    <w:rsid w:val="009D619F"/>
    <w:rsid w:val="00A30A05"/>
    <w:rsid w:val="00C4698B"/>
    <w:rsid w:val="00CD7DF8"/>
    <w:rsid w:val="00D6335D"/>
    <w:rsid w:val="00E0367D"/>
    <w:rsid w:val="00E517FF"/>
    <w:rsid w:val="00E849CC"/>
    <w:rsid w:val="00EB7E73"/>
    <w:rsid w:val="00F3150D"/>
    <w:rsid w:val="00FA5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6CA82-BDE2-426D-A765-3A56195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DF8"/>
    <w:pPr>
      <w:ind w:left="720"/>
      <w:contextualSpacing/>
    </w:pPr>
  </w:style>
  <w:style w:type="paragraph" w:styleId="BalloonText">
    <w:name w:val="Balloon Text"/>
    <w:basedOn w:val="Normal"/>
    <w:link w:val="BalloonTextChar"/>
    <w:uiPriority w:val="99"/>
    <w:semiHidden/>
    <w:unhideWhenUsed/>
    <w:rsid w:val="0046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3B"/>
    <w:rPr>
      <w:rFonts w:ascii="Tahoma" w:hAnsi="Tahoma" w:cs="Tahoma"/>
      <w:sz w:val="16"/>
      <w:szCs w:val="16"/>
      <w:lang w:eastAsia="en-US"/>
    </w:rPr>
  </w:style>
  <w:style w:type="paragraph" w:styleId="NoSpacing">
    <w:name w:val="No Spacing"/>
    <w:uiPriority w:val="1"/>
    <w:qFormat/>
    <w:rsid w:val="0046283B"/>
    <w:rPr>
      <w:sz w:val="22"/>
      <w:szCs w:val="22"/>
      <w:lang w:eastAsia="en-US"/>
    </w:rPr>
  </w:style>
  <w:style w:type="character" w:styleId="Hyperlink">
    <w:name w:val="Hyperlink"/>
    <w:basedOn w:val="DefaultParagraphFont"/>
    <w:uiPriority w:val="99"/>
    <w:unhideWhenUsed/>
    <w:rsid w:val="0046283B"/>
    <w:rPr>
      <w:color w:val="0563C1" w:themeColor="hyperlink"/>
      <w:u w:val="single"/>
    </w:rPr>
  </w:style>
  <w:style w:type="table" w:styleId="TableGrid">
    <w:name w:val="Table Grid"/>
    <w:basedOn w:val="TableNormal"/>
    <w:uiPriority w:val="59"/>
    <w:rsid w:val="00F315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BC9-208B-467E-B337-3144FD21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726</Words>
  <Characters>4143</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24dimira1</cp:lastModifiedBy>
  <cp:revision>13</cp:revision>
  <dcterms:created xsi:type="dcterms:W3CDTF">2020-08-27T18:31:00Z</dcterms:created>
  <dcterms:modified xsi:type="dcterms:W3CDTF">2020-08-28T07:34:00Z</dcterms:modified>
</cp:coreProperties>
</file>